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72F483FA" w:rsidP="74C337A5" w:rsidRDefault="72F483FA" w14:paraId="2169D42A" w14:textId="6135CBA2">
      <w:pPr>
        <w:spacing w:before="240" w:beforeAutospacing="off" w:after="0" w:afterAutospacing="off" w:line="259" w:lineRule="auto"/>
        <w:jc w:val="both"/>
        <w:rPr>
          <w:rFonts w:ascii="Calibri" w:hAnsi="Calibri" w:eastAsia="Calibri" w:cs="Calibri" w:asciiTheme="minorAscii" w:hAnsiTheme="minorAscii" w:eastAsiaTheme="minorAscii" w:cstheme="minorAscii"/>
          <w:noProof w:val="0"/>
          <w:sz w:val="20"/>
          <w:szCs w:val="20"/>
          <w:lang w:val="en-GB"/>
        </w:rPr>
      </w:pPr>
      <w:r w:rsidRPr="74C337A5" w:rsidR="72F483FA">
        <w:rPr>
          <w:rFonts w:ascii="Calibri" w:hAnsi="Calibri" w:eastAsia="Calibri" w:cs="Calibri" w:asciiTheme="minorAscii" w:hAnsiTheme="minorAscii" w:eastAsiaTheme="minorAscii" w:cstheme="minorAscii"/>
          <w:b w:val="1"/>
          <w:bCs w:val="1"/>
          <w:i w:val="0"/>
          <w:iCs w:val="0"/>
          <w:caps w:val="0"/>
          <w:smallCaps w:val="0"/>
          <w:noProof w:val="0"/>
          <w:color w:val="004479"/>
          <w:sz w:val="20"/>
          <w:szCs w:val="20"/>
          <w:lang w:val="en-GB"/>
        </w:rPr>
        <w:t>Curriculum Information: Health and Social Care</w:t>
      </w:r>
    </w:p>
    <w:p xmlns:wp14="http://schemas.microsoft.com/office/word/2010/wordml" w:rsidP="74C337A5" wp14:paraId="7A88CFAD" wp14:textId="3A4F339D">
      <w:pPr>
        <w:spacing w:before="240" w:beforeAutospacing="off" w:after="240" w:afterAutospacing="off" w:line="259" w:lineRule="auto"/>
        <w:jc w:val="both"/>
        <w:rPr>
          <w:rFonts w:ascii="Calibri" w:hAnsi="Calibri" w:eastAsia="Calibri" w:cs="Calibri" w:asciiTheme="minorAscii" w:hAnsiTheme="minorAscii" w:eastAsiaTheme="minorAscii" w:cstheme="minorAscii"/>
          <w:noProof w:val="0"/>
          <w:sz w:val="20"/>
          <w:szCs w:val="20"/>
          <w:lang w:val="en-GB"/>
        </w:rPr>
      </w:pPr>
      <w:r w:rsidRPr="74C337A5" w:rsidR="3ED816AA">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In Years’ 10 and 11 Level 2 BTEC Health and Social Care is part of the curriculum offer and is delivered by </w:t>
      </w:r>
      <w:r w:rsidRPr="74C337A5" w:rsidR="3ED816AA">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Science</w:t>
      </w:r>
      <w:r w:rsidRPr="74C337A5" w:rsidR="3ED816AA">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teachers.</w:t>
      </w:r>
      <w:r w:rsidRPr="74C337A5" w:rsidR="3ED816AA">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 Students on this pathway have 5 hours of lessons per fortnight. The BTEC is assessed through two external exams and completion of a coursework portfolio.</w:t>
      </w:r>
    </w:p>
    <w:p xmlns:wp14="http://schemas.microsoft.com/office/word/2010/wordml" w:rsidP="74C337A5" wp14:paraId="11B4D578" wp14:textId="2A1208BA">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pPr>
      <w:r w:rsidRPr="74C337A5" w:rsidR="4D6BBA3F">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There are three components to the course:</w:t>
      </w:r>
    </w:p>
    <w:p xmlns:wp14="http://schemas.microsoft.com/office/word/2010/wordml" w:rsidP="74C337A5" wp14:paraId="271A935A" wp14:textId="76EB92E0">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noProof w:val="0"/>
          <w:sz w:val="20"/>
          <w:szCs w:val="20"/>
          <w:u w:val="single"/>
          <w:lang w:val="en-GB"/>
        </w:rPr>
      </w:pPr>
      <w:r w:rsidRPr="74C337A5" w:rsidR="15C4AC95">
        <w:rPr>
          <w:rFonts w:ascii="Calibri" w:hAnsi="Calibri" w:eastAsia="Calibri" w:cs="Calibri" w:asciiTheme="minorAscii" w:hAnsiTheme="minorAscii" w:eastAsiaTheme="minorAscii" w:cstheme="minorAscii"/>
          <w:noProof w:val="0"/>
          <w:sz w:val="20"/>
          <w:szCs w:val="20"/>
          <w:u w:val="single"/>
          <w:lang w:val="en-GB"/>
        </w:rPr>
        <w:t>Component</w:t>
      </w:r>
      <w:r w:rsidRPr="74C337A5" w:rsidR="15C4AC95">
        <w:rPr>
          <w:rFonts w:ascii="Calibri" w:hAnsi="Calibri" w:eastAsia="Calibri" w:cs="Calibri" w:asciiTheme="minorAscii" w:hAnsiTheme="minorAscii" w:eastAsiaTheme="minorAscii" w:cstheme="minorAscii"/>
          <w:noProof w:val="0"/>
          <w:sz w:val="20"/>
          <w:szCs w:val="20"/>
          <w:u w:val="single"/>
          <w:lang w:val="en-GB"/>
        </w:rPr>
        <w:t xml:space="preserve"> One: Human Lifespan Development</w:t>
      </w:r>
    </w:p>
    <w:p xmlns:wp14="http://schemas.microsoft.com/office/word/2010/wordml" w:rsidP="74C337A5" wp14:paraId="67E83C6B" wp14:textId="5CD64AE8">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noProof w:val="0"/>
          <w:sz w:val="20"/>
          <w:szCs w:val="20"/>
          <w:lang w:val="en-GB"/>
        </w:rPr>
      </w:pPr>
      <w:r w:rsidRPr="74C337A5" w:rsidR="15C4AC95">
        <w:rPr>
          <w:rFonts w:ascii="Calibri" w:hAnsi="Calibri" w:eastAsia="Calibri" w:cs="Calibri" w:asciiTheme="minorAscii" w:hAnsiTheme="minorAscii" w:eastAsiaTheme="minorAscii" w:cstheme="minorAscii"/>
          <w:noProof w:val="0"/>
          <w:sz w:val="20"/>
          <w:szCs w:val="20"/>
          <w:lang w:val="en-GB"/>
        </w:rPr>
        <w:t xml:space="preserve">This </w:t>
      </w:r>
      <w:r w:rsidRPr="74C337A5" w:rsidR="15C4AC95">
        <w:rPr>
          <w:rFonts w:ascii="Calibri" w:hAnsi="Calibri" w:eastAsia="Calibri" w:cs="Calibri" w:asciiTheme="minorAscii" w:hAnsiTheme="minorAscii" w:eastAsiaTheme="minorAscii" w:cstheme="minorAscii"/>
          <w:noProof w:val="0"/>
          <w:sz w:val="20"/>
          <w:szCs w:val="20"/>
          <w:lang w:val="en-GB"/>
        </w:rPr>
        <w:t>component</w:t>
      </w:r>
      <w:r w:rsidRPr="74C337A5" w:rsidR="15C4AC95">
        <w:rPr>
          <w:rFonts w:ascii="Calibri" w:hAnsi="Calibri" w:eastAsia="Calibri" w:cs="Calibri" w:asciiTheme="minorAscii" w:hAnsiTheme="minorAscii" w:eastAsiaTheme="minorAscii" w:cstheme="minorAscii"/>
          <w:noProof w:val="0"/>
          <w:sz w:val="20"/>
          <w:szCs w:val="20"/>
          <w:lang w:val="en-GB"/>
        </w:rPr>
        <w:t xml:space="preserve"> provides learners with the underpinning knowledge they require to develop their understanding of health and social care as an academic discipline and a vocation. Learners will explore how humans grow and develop over the life course and how the conditions in which we live, learn, </w:t>
      </w:r>
      <w:r w:rsidRPr="74C337A5" w:rsidR="15C4AC95">
        <w:rPr>
          <w:rFonts w:ascii="Calibri" w:hAnsi="Calibri" w:eastAsia="Calibri" w:cs="Calibri" w:asciiTheme="minorAscii" w:hAnsiTheme="minorAscii" w:eastAsiaTheme="minorAscii" w:cstheme="minorAscii"/>
          <w:noProof w:val="0"/>
          <w:sz w:val="20"/>
          <w:szCs w:val="20"/>
          <w:lang w:val="en-GB"/>
        </w:rPr>
        <w:t>work</w:t>
      </w:r>
      <w:r w:rsidRPr="74C337A5" w:rsidR="15C4AC95">
        <w:rPr>
          <w:rFonts w:ascii="Calibri" w:hAnsi="Calibri" w:eastAsia="Calibri" w:cs="Calibri" w:asciiTheme="minorAscii" w:hAnsiTheme="minorAscii" w:eastAsiaTheme="minorAscii" w:cstheme="minorAscii"/>
          <w:noProof w:val="0"/>
          <w:sz w:val="20"/>
          <w:szCs w:val="20"/>
          <w:lang w:val="en-GB"/>
        </w:rPr>
        <w:t xml:space="preserve"> and play affect health, quality of life and wellbeing. They will be introduced to key recurring themes within the qualification: the six life stages of infancy, early childhood, adolescence, early adulthood, middle adulthood and later adulthood; the classification of growth and development into physical, intellectual, emotional and social spheres (known as PIES); and the classification of factors that affect growth and development into the seven categories of physical, lifestyle, emotional, social, cultural, environmental and economic factors.</w:t>
      </w:r>
    </w:p>
    <w:p xmlns:wp14="http://schemas.microsoft.com/office/word/2010/wordml" w:rsidP="74C337A5" wp14:paraId="22400875" wp14:textId="3641CB1F">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noProof w:val="0"/>
          <w:sz w:val="20"/>
          <w:szCs w:val="20"/>
          <w:u w:val="single"/>
          <w:lang w:val="en-GB"/>
        </w:rPr>
      </w:pPr>
      <w:r w:rsidRPr="74C337A5" w:rsidR="76AAD8C9">
        <w:rPr>
          <w:rFonts w:ascii="Calibri" w:hAnsi="Calibri" w:eastAsia="Calibri" w:cs="Calibri" w:asciiTheme="minorAscii" w:hAnsiTheme="minorAscii" w:eastAsiaTheme="minorAscii" w:cstheme="minorAscii"/>
          <w:noProof w:val="0"/>
          <w:sz w:val="20"/>
          <w:szCs w:val="20"/>
          <w:u w:val="single"/>
          <w:lang w:val="en-GB"/>
        </w:rPr>
        <w:t>Component</w:t>
      </w:r>
      <w:r w:rsidRPr="74C337A5" w:rsidR="76AAD8C9">
        <w:rPr>
          <w:rFonts w:ascii="Calibri" w:hAnsi="Calibri" w:eastAsia="Calibri" w:cs="Calibri" w:asciiTheme="minorAscii" w:hAnsiTheme="minorAscii" w:eastAsiaTheme="minorAscii" w:cstheme="minorAscii"/>
          <w:noProof w:val="0"/>
          <w:sz w:val="20"/>
          <w:szCs w:val="20"/>
          <w:u w:val="single"/>
          <w:lang w:val="en-GB"/>
        </w:rPr>
        <w:t xml:space="preserve"> Two: Health and Social Care Services and Values</w:t>
      </w:r>
    </w:p>
    <w:p xmlns:wp14="http://schemas.microsoft.com/office/word/2010/wordml" w:rsidP="74C337A5" wp14:paraId="147D3C59" wp14:textId="2CFB51F4">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noProof w:val="0"/>
          <w:sz w:val="20"/>
          <w:szCs w:val="20"/>
          <w:lang w:val="en-GB"/>
        </w:rPr>
      </w:pPr>
      <w:r w:rsidRPr="74C337A5" w:rsidR="76AAD8C9">
        <w:rPr>
          <w:rFonts w:ascii="Calibri" w:hAnsi="Calibri" w:eastAsia="Calibri" w:cs="Calibri" w:asciiTheme="minorAscii" w:hAnsiTheme="minorAscii" w:eastAsiaTheme="minorAscii" w:cstheme="minorAscii"/>
          <w:noProof w:val="0"/>
          <w:sz w:val="20"/>
          <w:szCs w:val="20"/>
          <w:lang w:val="en-GB"/>
        </w:rPr>
        <w:t xml:space="preserve">This </w:t>
      </w:r>
      <w:r w:rsidRPr="74C337A5" w:rsidR="76AAD8C9">
        <w:rPr>
          <w:rFonts w:ascii="Calibri" w:hAnsi="Calibri" w:eastAsia="Calibri" w:cs="Calibri" w:asciiTheme="minorAscii" w:hAnsiTheme="minorAscii" w:eastAsiaTheme="minorAscii" w:cstheme="minorAscii"/>
          <w:noProof w:val="0"/>
          <w:sz w:val="20"/>
          <w:szCs w:val="20"/>
          <w:lang w:val="en-GB"/>
        </w:rPr>
        <w:t>component</w:t>
      </w:r>
      <w:r w:rsidRPr="74C337A5" w:rsidR="76AAD8C9">
        <w:rPr>
          <w:rFonts w:ascii="Calibri" w:hAnsi="Calibri" w:eastAsia="Calibri" w:cs="Calibri" w:asciiTheme="minorAscii" w:hAnsiTheme="minorAscii" w:eastAsiaTheme="minorAscii" w:cstheme="minorAscii"/>
          <w:noProof w:val="0"/>
          <w:sz w:val="20"/>
          <w:szCs w:val="20"/>
          <w:lang w:val="en-GB"/>
        </w:rPr>
        <w:t xml:space="preserve"> provides learners with an understanding of the way in which health and social care services meet the needs of the population. It is recommended that this </w:t>
      </w:r>
      <w:r w:rsidRPr="74C337A5" w:rsidR="76AAD8C9">
        <w:rPr>
          <w:rFonts w:ascii="Calibri" w:hAnsi="Calibri" w:eastAsia="Calibri" w:cs="Calibri" w:asciiTheme="minorAscii" w:hAnsiTheme="minorAscii" w:eastAsiaTheme="minorAscii" w:cstheme="minorAscii"/>
          <w:noProof w:val="0"/>
          <w:sz w:val="20"/>
          <w:szCs w:val="20"/>
          <w:lang w:val="en-GB"/>
        </w:rPr>
        <w:t>component</w:t>
      </w:r>
      <w:r w:rsidRPr="74C337A5" w:rsidR="76AAD8C9">
        <w:rPr>
          <w:rFonts w:ascii="Calibri" w:hAnsi="Calibri" w:eastAsia="Calibri" w:cs="Calibri" w:asciiTheme="minorAscii" w:hAnsiTheme="minorAscii" w:eastAsiaTheme="minorAscii" w:cstheme="minorAscii"/>
          <w:noProof w:val="0"/>
          <w:sz w:val="20"/>
          <w:szCs w:val="20"/>
          <w:lang w:val="en-GB"/>
        </w:rPr>
        <w:t xml:space="preserve"> is taught after Component 1, as to be successful in the internal assessment learners require the underpinning knowledge of human lifespan development, including PIES categorisation and the factors that affect growth and development. Learners will explore key health conditions, building upon those already outlined in Component 1, and the services available to meet the needs of individuals living with these conditions. Learners will also explore services for </w:t>
      </w:r>
      <w:r w:rsidRPr="74C337A5" w:rsidR="76AAD8C9">
        <w:rPr>
          <w:rFonts w:ascii="Calibri" w:hAnsi="Calibri" w:eastAsia="Calibri" w:cs="Calibri" w:asciiTheme="minorAscii" w:hAnsiTheme="minorAscii" w:eastAsiaTheme="minorAscii" w:cstheme="minorAscii"/>
          <w:noProof w:val="0"/>
          <w:sz w:val="20"/>
          <w:szCs w:val="20"/>
          <w:lang w:val="en-GB"/>
        </w:rPr>
        <w:t>additional</w:t>
      </w:r>
      <w:r w:rsidRPr="74C337A5" w:rsidR="76AAD8C9">
        <w:rPr>
          <w:rFonts w:ascii="Calibri" w:hAnsi="Calibri" w:eastAsia="Calibri" w:cs="Calibri" w:asciiTheme="minorAscii" w:hAnsiTheme="minorAscii" w:eastAsiaTheme="minorAscii" w:cstheme="minorAscii"/>
          <w:noProof w:val="0"/>
          <w:sz w:val="20"/>
          <w:szCs w:val="20"/>
          <w:lang w:val="en-GB"/>
        </w:rPr>
        <w:t xml:space="preserve"> needs such as learning disability and physical impairment. </w:t>
      </w:r>
      <w:r w:rsidRPr="74C337A5" w:rsidR="76AAD8C9">
        <w:rPr>
          <w:rFonts w:ascii="Calibri" w:hAnsi="Calibri" w:eastAsia="Calibri" w:cs="Calibri" w:asciiTheme="minorAscii" w:hAnsiTheme="minorAscii" w:eastAsiaTheme="minorAscii" w:cstheme="minorAscii"/>
          <w:noProof w:val="0"/>
          <w:sz w:val="20"/>
          <w:szCs w:val="20"/>
          <w:lang w:val="en-GB"/>
        </w:rPr>
        <w:t xml:space="preserve">They will explore the reasons why social care is </w:t>
      </w:r>
      <w:r w:rsidRPr="74C337A5" w:rsidR="76AAD8C9">
        <w:rPr>
          <w:rFonts w:ascii="Calibri" w:hAnsi="Calibri" w:eastAsia="Calibri" w:cs="Calibri" w:asciiTheme="minorAscii" w:hAnsiTheme="minorAscii" w:eastAsiaTheme="minorAscii" w:cstheme="minorAscii"/>
          <w:noProof w:val="0"/>
          <w:sz w:val="20"/>
          <w:szCs w:val="20"/>
          <w:lang w:val="en-GB"/>
        </w:rPr>
        <w:t>required</w:t>
      </w:r>
      <w:r w:rsidRPr="74C337A5" w:rsidR="76AAD8C9">
        <w:rPr>
          <w:rFonts w:ascii="Calibri" w:hAnsi="Calibri" w:eastAsia="Calibri" w:cs="Calibri" w:asciiTheme="minorAscii" w:hAnsiTheme="minorAscii" w:eastAsiaTheme="minorAscii" w:cstheme="minorAscii"/>
          <w:noProof w:val="0"/>
          <w:sz w:val="20"/>
          <w:szCs w:val="20"/>
          <w:lang w:val="en-GB"/>
        </w:rPr>
        <w:t xml:space="preserve"> and services provided by formal social care services, as well as </w:t>
      </w:r>
      <w:r w:rsidRPr="74C337A5" w:rsidR="76AAD8C9">
        <w:rPr>
          <w:rFonts w:ascii="Calibri" w:hAnsi="Calibri" w:eastAsia="Calibri" w:cs="Calibri" w:asciiTheme="minorAscii" w:hAnsiTheme="minorAscii" w:eastAsiaTheme="minorAscii" w:cstheme="minorAscii"/>
          <w:noProof w:val="0"/>
          <w:sz w:val="20"/>
          <w:szCs w:val="20"/>
          <w:lang w:val="en-GB"/>
        </w:rPr>
        <w:t>additional</w:t>
      </w:r>
      <w:r w:rsidRPr="74C337A5" w:rsidR="76AAD8C9">
        <w:rPr>
          <w:rFonts w:ascii="Calibri" w:hAnsi="Calibri" w:eastAsia="Calibri" w:cs="Calibri" w:asciiTheme="minorAscii" w:hAnsiTheme="minorAscii" w:eastAsiaTheme="minorAscii" w:cstheme="minorAscii"/>
          <w:noProof w:val="0"/>
          <w:sz w:val="20"/>
          <w:szCs w:val="20"/>
          <w:lang w:val="en-GB"/>
        </w:rPr>
        <w:t xml:space="preserve"> care from volunteers, </w:t>
      </w:r>
      <w:r w:rsidRPr="74C337A5" w:rsidR="76AAD8C9">
        <w:rPr>
          <w:rFonts w:ascii="Calibri" w:hAnsi="Calibri" w:eastAsia="Calibri" w:cs="Calibri" w:asciiTheme="minorAscii" w:hAnsiTheme="minorAscii" w:eastAsiaTheme="minorAscii" w:cstheme="minorAscii"/>
          <w:noProof w:val="0"/>
          <w:sz w:val="20"/>
          <w:szCs w:val="20"/>
          <w:lang w:val="en-GB"/>
        </w:rPr>
        <w:t>friends</w:t>
      </w:r>
      <w:r w:rsidRPr="74C337A5" w:rsidR="76AAD8C9">
        <w:rPr>
          <w:rFonts w:ascii="Calibri" w:hAnsi="Calibri" w:eastAsia="Calibri" w:cs="Calibri" w:asciiTheme="minorAscii" w:hAnsiTheme="minorAscii" w:eastAsiaTheme="minorAscii" w:cstheme="minorAscii"/>
          <w:noProof w:val="0"/>
          <w:sz w:val="20"/>
          <w:szCs w:val="20"/>
          <w:lang w:val="en-GB"/>
        </w:rPr>
        <w:t xml:space="preserve"> and family.</w:t>
      </w:r>
      <w:r w:rsidRPr="74C337A5" w:rsidR="76AAD8C9">
        <w:rPr>
          <w:rFonts w:ascii="Calibri" w:hAnsi="Calibri" w:eastAsia="Calibri" w:cs="Calibri" w:asciiTheme="minorAscii" w:hAnsiTheme="minorAscii" w:eastAsiaTheme="minorAscii" w:cstheme="minorAscii"/>
          <w:noProof w:val="0"/>
          <w:sz w:val="20"/>
          <w:szCs w:val="20"/>
          <w:lang w:val="en-GB"/>
        </w:rPr>
        <w:t xml:space="preserve"> They will be introduced to a variety of barriers to accessing services and explore the ways in which these barriers can be successfully overcome. This </w:t>
      </w:r>
      <w:r w:rsidRPr="74C337A5" w:rsidR="76AAD8C9">
        <w:rPr>
          <w:rFonts w:ascii="Calibri" w:hAnsi="Calibri" w:eastAsia="Calibri" w:cs="Calibri" w:asciiTheme="minorAscii" w:hAnsiTheme="minorAscii" w:eastAsiaTheme="minorAscii" w:cstheme="minorAscii"/>
          <w:noProof w:val="0"/>
          <w:sz w:val="20"/>
          <w:szCs w:val="20"/>
          <w:lang w:val="en-GB"/>
        </w:rPr>
        <w:t>component</w:t>
      </w:r>
      <w:r w:rsidRPr="74C337A5" w:rsidR="76AAD8C9">
        <w:rPr>
          <w:rFonts w:ascii="Calibri" w:hAnsi="Calibri" w:eastAsia="Calibri" w:cs="Calibri" w:asciiTheme="minorAscii" w:hAnsiTheme="minorAscii" w:eastAsiaTheme="minorAscii" w:cstheme="minorAscii"/>
          <w:noProof w:val="0"/>
          <w:sz w:val="20"/>
          <w:szCs w:val="20"/>
          <w:lang w:val="en-GB"/>
        </w:rPr>
        <w:t xml:space="preserve"> also develops vocational knowledge, as learners explore the skills, values and attributes </w:t>
      </w:r>
      <w:r w:rsidRPr="74C337A5" w:rsidR="76AAD8C9">
        <w:rPr>
          <w:rFonts w:ascii="Calibri" w:hAnsi="Calibri" w:eastAsia="Calibri" w:cs="Calibri" w:asciiTheme="minorAscii" w:hAnsiTheme="minorAscii" w:eastAsiaTheme="minorAscii" w:cstheme="minorAscii"/>
          <w:noProof w:val="0"/>
          <w:sz w:val="20"/>
          <w:szCs w:val="20"/>
          <w:lang w:val="en-GB"/>
        </w:rPr>
        <w:t>required</w:t>
      </w:r>
      <w:r w:rsidRPr="74C337A5" w:rsidR="76AAD8C9">
        <w:rPr>
          <w:rFonts w:ascii="Calibri" w:hAnsi="Calibri" w:eastAsia="Calibri" w:cs="Calibri" w:asciiTheme="minorAscii" w:hAnsiTheme="minorAscii" w:eastAsiaTheme="minorAscii" w:cstheme="minorAscii"/>
          <w:noProof w:val="0"/>
          <w:sz w:val="20"/>
          <w:szCs w:val="20"/>
          <w:lang w:val="en-GB"/>
        </w:rPr>
        <w:t xml:space="preserve"> when working in the sector.</w:t>
      </w:r>
    </w:p>
    <w:p xmlns:wp14="http://schemas.microsoft.com/office/word/2010/wordml" w:rsidP="74C337A5" wp14:paraId="1626209C" wp14:textId="2EDFE504">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noProof w:val="0"/>
          <w:sz w:val="20"/>
          <w:szCs w:val="20"/>
          <w:u w:val="single"/>
          <w:lang w:val="en-GB"/>
        </w:rPr>
      </w:pPr>
      <w:r w:rsidRPr="74C337A5" w:rsidR="52D11CBD">
        <w:rPr>
          <w:rFonts w:ascii="Calibri" w:hAnsi="Calibri" w:eastAsia="Calibri" w:cs="Calibri" w:asciiTheme="minorAscii" w:hAnsiTheme="minorAscii" w:eastAsiaTheme="minorAscii" w:cstheme="minorAscii"/>
          <w:noProof w:val="0"/>
          <w:sz w:val="20"/>
          <w:szCs w:val="20"/>
          <w:u w:val="single"/>
          <w:lang w:val="en-GB"/>
        </w:rPr>
        <w:t>Component</w:t>
      </w:r>
      <w:r w:rsidRPr="74C337A5" w:rsidR="52D11CBD">
        <w:rPr>
          <w:rFonts w:ascii="Calibri" w:hAnsi="Calibri" w:eastAsia="Calibri" w:cs="Calibri" w:asciiTheme="minorAscii" w:hAnsiTheme="minorAscii" w:eastAsiaTheme="minorAscii" w:cstheme="minorAscii"/>
          <w:noProof w:val="0"/>
          <w:sz w:val="20"/>
          <w:szCs w:val="20"/>
          <w:u w:val="single"/>
          <w:lang w:val="en-GB"/>
        </w:rPr>
        <w:t xml:space="preserve"> Three: Health and Wellbeing</w:t>
      </w:r>
    </w:p>
    <w:p xmlns:wp14="http://schemas.microsoft.com/office/word/2010/wordml" w:rsidP="74C337A5" wp14:paraId="7B5275FC" wp14:textId="68933D99">
      <w:pPr>
        <w:pStyle w:val="Normal"/>
        <w:spacing w:before="240" w:beforeAutospacing="off" w:after="240" w:afterAutospacing="off" w:line="259" w:lineRule="auto"/>
        <w:jc w:val="both"/>
        <w:rPr>
          <w:rFonts w:ascii="Calibri" w:hAnsi="Calibri" w:eastAsia="Calibri" w:cs="Calibri" w:asciiTheme="minorAscii" w:hAnsiTheme="minorAscii" w:eastAsiaTheme="minorAscii" w:cstheme="minorAscii"/>
          <w:noProof w:val="0"/>
          <w:sz w:val="20"/>
          <w:szCs w:val="20"/>
          <w:lang w:val="en-GB"/>
        </w:rPr>
      </w:pPr>
      <w:r w:rsidRPr="74C337A5" w:rsidR="52D11CBD">
        <w:rPr>
          <w:rFonts w:ascii="Calibri" w:hAnsi="Calibri" w:eastAsia="Calibri" w:cs="Calibri" w:asciiTheme="minorAscii" w:hAnsiTheme="minorAscii" w:eastAsiaTheme="minorAscii" w:cstheme="minorAscii"/>
          <w:noProof w:val="0"/>
          <w:sz w:val="20"/>
          <w:szCs w:val="20"/>
          <w:lang w:val="en-GB"/>
        </w:rPr>
        <w:t xml:space="preserve">This </w:t>
      </w:r>
      <w:r w:rsidRPr="74C337A5" w:rsidR="52D11CBD">
        <w:rPr>
          <w:rFonts w:ascii="Calibri" w:hAnsi="Calibri" w:eastAsia="Calibri" w:cs="Calibri" w:asciiTheme="minorAscii" w:hAnsiTheme="minorAscii" w:eastAsiaTheme="minorAscii" w:cstheme="minorAscii"/>
          <w:noProof w:val="0"/>
          <w:sz w:val="20"/>
          <w:szCs w:val="20"/>
          <w:lang w:val="en-GB"/>
        </w:rPr>
        <w:t>component</w:t>
      </w:r>
      <w:r w:rsidRPr="74C337A5" w:rsidR="52D11CBD">
        <w:rPr>
          <w:rFonts w:ascii="Calibri" w:hAnsi="Calibri" w:eastAsia="Calibri" w:cs="Calibri" w:asciiTheme="minorAscii" w:hAnsiTheme="minorAscii" w:eastAsiaTheme="minorAscii" w:cstheme="minorAscii"/>
          <w:noProof w:val="0"/>
          <w:sz w:val="20"/>
          <w:szCs w:val="20"/>
          <w:lang w:val="en-GB"/>
        </w:rPr>
        <w:t xml:space="preserve"> is synoptic in nature, as it brings together and builds upon knowledge developed across the first two components. This </w:t>
      </w:r>
      <w:r w:rsidRPr="74C337A5" w:rsidR="52D11CBD">
        <w:rPr>
          <w:rFonts w:ascii="Calibri" w:hAnsi="Calibri" w:eastAsia="Calibri" w:cs="Calibri" w:asciiTheme="minorAscii" w:hAnsiTheme="minorAscii" w:eastAsiaTheme="minorAscii" w:cstheme="minorAscii"/>
          <w:noProof w:val="0"/>
          <w:sz w:val="20"/>
          <w:szCs w:val="20"/>
          <w:lang w:val="en-GB"/>
        </w:rPr>
        <w:t>component</w:t>
      </w:r>
      <w:r w:rsidRPr="74C337A5" w:rsidR="52D11CBD">
        <w:rPr>
          <w:rFonts w:ascii="Calibri" w:hAnsi="Calibri" w:eastAsia="Calibri" w:cs="Calibri" w:asciiTheme="minorAscii" w:hAnsiTheme="minorAscii" w:eastAsiaTheme="minorAscii" w:cstheme="minorAscii"/>
          <w:noProof w:val="0"/>
          <w:sz w:val="20"/>
          <w:szCs w:val="20"/>
          <w:lang w:val="en-GB"/>
        </w:rPr>
        <w:t xml:space="preserve"> will </w:t>
      </w:r>
      <w:r w:rsidRPr="74C337A5" w:rsidR="52D11CBD">
        <w:rPr>
          <w:rFonts w:ascii="Calibri" w:hAnsi="Calibri" w:eastAsia="Calibri" w:cs="Calibri" w:asciiTheme="minorAscii" w:hAnsiTheme="minorAscii" w:eastAsiaTheme="minorAscii" w:cstheme="minorAscii"/>
          <w:noProof w:val="0"/>
          <w:sz w:val="20"/>
          <w:szCs w:val="20"/>
          <w:lang w:val="en-GB"/>
        </w:rPr>
        <w:t>equip</w:t>
      </w:r>
      <w:r w:rsidRPr="74C337A5" w:rsidR="52D11CBD">
        <w:rPr>
          <w:rFonts w:ascii="Calibri" w:hAnsi="Calibri" w:eastAsia="Calibri" w:cs="Calibri" w:asciiTheme="minorAscii" w:hAnsiTheme="minorAscii" w:eastAsiaTheme="minorAscii" w:cstheme="minorAscii"/>
          <w:noProof w:val="0"/>
          <w:sz w:val="20"/>
          <w:szCs w:val="20"/>
          <w:lang w:val="en-GB"/>
        </w:rPr>
        <w:t xml:space="preserve"> learners with the skills and knowledge to conduct a holistic assessment of the health and wellbeing of individuals, based upon </w:t>
      </w:r>
      <w:r w:rsidRPr="74C337A5" w:rsidR="52D11CBD">
        <w:rPr>
          <w:rFonts w:ascii="Calibri" w:hAnsi="Calibri" w:eastAsia="Calibri" w:cs="Calibri" w:asciiTheme="minorAscii" w:hAnsiTheme="minorAscii" w:eastAsiaTheme="minorAscii" w:cstheme="minorAscii"/>
          <w:noProof w:val="0"/>
          <w:sz w:val="20"/>
          <w:szCs w:val="20"/>
          <w:lang w:val="en-GB"/>
        </w:rPr>
        <w:t>various factors</w:t>
      </w:r>
      <w:r w:rsidRPr="74C337A5" w:rsidR="52D11CBD">
        <w:rPr>
          <w:rFonts w:ascii="Calibri" w:hAnsi="Calibri" w:eastAsia="Calibri" w:cs="Calibri" w:asciiTheme="minorAscii" w:hAnsiTheme="minorAscii" w:eastAsiaTheme="minorAscii" w:cstheme="minorAscii"/>
          <w:noProof w:val="0"/>
          <w:sz w:val="20"/>
          <w:szCs w:val="20"/>
          <w:lang w:val="en-GB"/>
        </w:rPr>
        <w:t>, lifestyle choices and measurements of health.</w:t>
      </w:r>
    </w:p>
    <w:p xmlns:wp14="http://schemas.microsoft.com/office/word/2010/wordml" w:rsidP="74C337A5" wp14:paraId="5E5787A5" wp14:textId="480892FE">
      <w:pPr>
        <w:spacing w:before="240" w:beforeAutospacing="off" w:after="240" w:afterAutospacing="off" w:line="259" w:lineRule="auto"/>
        <w:jc w:val="both"/>
        <w:rPr>
          <w:rFonts w:ascii="Calibri" w:hAnsi="Calibri" w:eastAsia="Calibri" w:cs="Calibri" w:asciiTheme="minorAscii" w:hAnsiTheme="minorAscii" w:eastAsiaTheme="minorAscii" w:cstheme="minorAscii"/>
          <w:noProof w:val="0"/>
          <w:sz w:val="20"/>
          <w:szCs w:val="20"/>
          <w:lang w:val="en-GB"/>
        </w:rPr>
      </w:pPr>
      <w:r w:rsidRPr="74C337A5" w:rsidR="6E1947A6">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 xml:space="preserve">Exam board: </w:t>
      </w:r>
      <w:r w:rsidRPr="74C337A5" w:rsidR="3ED816AA">
        <w:rPr>
          <w:rFonts w:ascii="Calibri" w:hAnsi="Calibri" w:eastAsia="Calibri" w:cs="Calibri" w:asciiTheme="minorAscii" w:hAnsiTheme="minorAscii" w:eastAsiaTheme="minorAscii" w:cstheme="minorAscii"/>
          <w:b w:val="0"/>
          <w:bCs w:val="0"/>
          <w:i w:val="0"/>
          <w:iCs w:val="0"/>
          <w:caps w:val="0"/>
          <w:smallCaps w:val="0"/>
          <w:noProof w:val="0"/>
          <w:color w:val="444444"/>
          <w:sz w:val="20"/>
          <w:szCs w:val="20"/>
          <w:lang w:val="en-GB"/>
        </w:rPr>
        <w:t>Pearson BTEC Level 1/Level 2 First Award in Health and Social Care 600/4782/3</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0D8914"/>
    <w:rsid w:val="0C06229E"/>
    <w:rsid w:val="0DA1F2FF"/>
    <w:rsid w:val="15C4AC95"/>
    <w:rsid w:val="20753232"/>
    <w:rsid w:val="2122EC3A"/>
    <w:rsid w:val="250D8914"/>
    <w:rsid w:val="2902B6F6"/>
    <w:rsid w:val="2A9E8757"/>
    <w:rsid w:val="33207794"/>
    <w:rsid w:val="3ED816AA"/>
    <w:rsid w:val="46E95A53"/>
    <w:rsid w:val="4D6BBA3F"/>
    <w:rsid w:val="52D11CBD"/>
    <w:rsid w:val="607DC397"/>
    <w:rsid w:val="6E1947A6"/>
    <w:rsid w:val="72F483FA"/>
    <w:rsid w:val="74C337A5"/>
    <w:rsid w:val="7641F31A"/>
    <w:rsid w:val="76AAD8C9"/>
    <w:rsid w:val="77452A7C"/>
    <w:rsid w:val="77DDC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8914"/>
  <w15:chartTrackingRefBased/>
  <w15:docId w15:val="{D0878FDC-9D09-4CF7-922E-B7B546F47E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B1863D1055429F595A8A1D88AECF" ma:contentTypeVersion="13" ma:contentTypeDescription="Create a new document." ma:contentTypeScope="" ma:versionID="4040e691033f99a1508409a6969f783b">
  <xsd:schema xmlns:xsd="http://www.w3.org/2001/XMLSchema" xmlns:xs="http://www.w3.org/2001/XMLSchema" xmlns:p="http://schemas.microsoft.com/office/2006/metadata/properties" xmlns:ns2="ce785ab2-93b7-4d28-9ae0-21afc628e08b" xmlns:ns3="62a8bd1d-7813-46b4-8381-da434aa9d0ba" targetNamespace="http://schemas.microsoft.com/office/2006/metadata/properties" ma:root="true" ma:fieldsID="a722718df6ff997db16e5735a9bbacc1" ns2:_="" ns3:_="">
    <xsd:import namespace="ce785ab2-93b7-4d28-9ae0-21afc628e08b"/>
    <xsd:import namespace="62a8bd1d-7813-46b4-8381-da434aa9d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ab2-93b7-4d28-9ae0-21afc628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bf73a6-5de2-49dd-b339-85410312b9d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8bd1d-7813-46b4-8381-da434aa9d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90ad50d-ddfe-45b1-a42a-deed5105027b}" ma:internalName="TaxCatchAll" ma:showField="CatchAllData" ma:web="62a8bd1d-7813-46b4-8381-da434aa9d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2a8bd1d-7813-46b4-8381-da434aa9d0ba" xsi:nil="true"/>
    <lcf76f155ced4ddcb4097134ff3c332f xmlns="ce785ab2-93b7-4d28-9ae0-21afc628e08b">
      <Terms xmlns="http://schemas.microsoft.com/office/infopath/2007/PartnerControls"/>
    </lcf76f155ced4ddcb4097134ff3c332f>
    <SharedWithUsers xmlns="62a8bd1d-7813-46b4-8381-da434aa9d0ba">
      <UserInfo>
        <DisplayName>S Tucker</DisplayName>
        <AccountId>162</AccountId>
        <AccountType/>
      </UserInfo>
      <UserInfo>
        <DisplayName>J Stewart</DisplayName>
        <AccountId>9</AccountId>
        <AccountType/>
      </UserInfo>
    </SharedWithUsers>
  </documentManagement>
</p:properties>
</file>

<file path=customXml/itemProps1.xml><?xml version="1.0" encoding="utf-8"?>
<ds:datastoreItem xmlns:ds="http://schemas.openxmlformats.org/officeDocument/2006/customXml" ds:itemID="{5A4D503E-7B58-4D19-BE50-E62D026FFEC2}"/>
</file>

<file path=customXml/itemProps2.xml><?xml version="1.0" encoding="utf-8"?>
<ds:datastoreItem xmlns:ds="http://schemas.openxmlformats.org/officeDocument/2006/customXml" ds:itemID="{78E27DA2-36C8-4310-976E-959A28B8DB57}"/>
</file>

<file path=customXml/itemProps3.xml><?xml version="1.0" encoding="utf-8"?>
<ds:datastoreItem xmlns:ds="http://schemas.openxmlformats.org/officeDocument/2006/customXml" ds:itemID="{0E4840FC-9BA0-484C-A854-B2C3DAB839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Stewart</dc:creator>
  <cp:keywords/>
  <dc:description/>
  <cp:lastModifiedBy>J Stewart</cp:lastModifiedBy>
  <cp:revision>4</cp:revision>
  <dcterms:created xsi:type="dcterms:W3CDTF">2023-12-03T21:49:46Z</dcterms:created>
  <dcterms:modified xsi:type="dcterms:W3CDTF">2023-12-08T09:17:10Z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0x0101004D13B1863D1055429F595A8A1D88AECF</vt:lpwstr>
  </property>
  <property fmtid="{D5CDD505-2E9C-101B-9397-08002B2CF9AE}" pid="3" name="MediaServiceImageTags">
    <vt:lpwstr/>
  </property>
</Properties>
</file>